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6D8DA" w14:textId="77777777" w:rsidR="00E12F37" w:rsidRPr="00E12F37" w:rsidRDefault="00000000" w:rsidP="00E12F37">
      <w:pPr>
        <w:spacing w:after="0" w:line="259" w:lineRule="auto"/>
        <w:ind w:left="10" w:right="65" w:hanging="10"/>
        <w:jc w:val="center"/>
        <w:rPr>
          <w:b/>
          <w:bCs/>
          <w:sz w:val="32"/>
          <w:szCs w:val="32"/>
        </w:rPr>
      </w:pPr>
      <w:r w:rsidRPr="00E12F37">
        <w:rPr>
          <w:b/>
          <w:bCs/>
          <w:sz w:val="32"/>
          <w:szCs w:val="32"/>
        </w:rPr>
        <w:t>2023</w:t>
      </w:r>
    </w:p>
    <w:p w14:paraId="43ECBC52" w14:textId="12A8941D" w:rsidR="00E01D25" w:rsidRPr="00E12F37" w:rsidRDefault="00000000" w:rsidP="00E12F37">
      <w:pPr>
        <w:spacing w:after="0" w:line="259" w:lineRule="auto"/>
        <w:ind w:left="10" w:right="65" w:hanging="10"/>
        <w:jc w:val="center"/>
        <w:rPr>
          <w:b/>
          <w:bCs/>
        </w:rPr>
      </w:pPr>
      <w:r w:rsidRPr="00E12F37">
        <w:rPr>
          <w:b/>
          <w:bCs/>
          <w:sz w:val="24"/>
        </w:rPr>
        <w:t>AN ORDINANCE OF THE TOWN OF VIOLA</w:t>
      </w:r>
    </w:p>
    <w:p w14:paraId="6C01656F" w14:textId="688B8143" w:rsidR="00E01D25" w:rsidRPr="00E12F37" w:rsidRDefault="00000000" w:rsidP="00E12F37">
      <w:pPr>
        <w:pStyle w:val="Heading1"/>
        <w:spacing w:after="189"/>
        <w:ind w:left="52" w:right="0"/>
        <w:jc w:val="center"/>
        <w:rPr>
          <w:b/>
          <w:bCs/>
        </w:rPr>
      </w:pPr>
      <w:r w:rsidRPr="00E12F37">
        <w:rPr>
          <w:b/>
          <w:bCs/>
        </w:rPr>
        <w:t xml:space="preserve">ADOPTING </w:t>
      </w:r>
      <w:r w:rsidR="00E12F37" w:rsidRPr="00E12F37">
        <w:rPr>
          <w:b/>
          <w:bCs/>
          <w:noProof/>
        </w:rPr>
        <w:t>THE SCHEDULE</w:t>
      </w:r>
      <w:r w:rsidR="00E12F37" w:rsidRPr="00E12F37">
        <w:rPr>
          <w:b/>
          <w:bCs/>
        </w:rPr>
        <w:t xml:space="preserve"> </w:t>
      </w:r>
      <w:r w:rsidRPr="00E12F37">
        <w:rPr>
          <w:b/>
          <w:bCs/>
        </w:rPr>
        <w:t>OF FEES FOR SERVICES PROVIDED BY THE TOWN</w:t>
      </w:r>
    </w:p>
    <w:p w14:paraId="0C9D56C0" w14:textId="2656F255" w:rsidR="00E01D25" w:rsidRDefault="00000000">
      <w:pPr>
        <w:ind w:left="11" w:right="17"/>
      </w:pPr>
      <w:r>
        <w:t>WHEREAS, the Town of Viola is authorized pursuant to Section 5 of</w:t>
      </w:r>
      <w:r w:rsidR="00E12F37">
        <w:t xml:space="preserve"> </w:t>
      </w:r>
      <w:r>
        <w:t>the Town Charter to "pass ordinances and rules for the good government of said town";</w:t>
      </w:r>
    </w:p>
    <w:p w14:paraId="0B15CE4F" w14:textId="77777777" w:rsidR="00E01D25" w:rsidRDefault="00000000">
      <w:pPr>
        <w:ind w:left="11" w:right="17"/>
      </w:pPr>
      <w:r>
        <w:t>WHEREAS, Section 21 of the Town Charter grants unto the Town of Viola "all powers which, under the Constitution of the State of Delaware, it would be competent for [the] charter specifically to enumerate";</w:t>
      </w:r>
    </w:p>
    <w:p w14:paraId="5E9855E9" w14:textId="3BE728AB" w:rsidR="00E01D25" w:rsidRDefault="00000000">
      <w:pPr>
        <w:ind w:left="11" w:right="17"/>
      </w:pPr>
      <w:r>
        <w:t>WHEREAS, Section 1-14 of the Town of Viola, Delaware Land Development Ordinance authorizes the Town to adopt a schedule fees ''desig</w:t>
      </w:r>
      <w:r w:rsidR="00E12F37">
        <w:t>n</w:t>
      </w:r>
      <w:r>
        <w:t>ed to allow the town to recover the cost of consultant services directly associated with the review of each application";</w:t>
      </w:r>
      <w:r>
        <w:rPr>
          <w:noProof/>
        </w:rPr>
        <w:drawing>
          <wp:inline distT="0" distB="0" distL="0" distR="0" wp14:anchorId="1E4BA9D3" wp14:editId="57BEBF5E">
            <wp:extent cx="4121" cy="4121"/>
            <wp:effectExtent l="0" t="0" r="0" b="0"/>
            <wp:docPr id="2170" name="Picture 2170"/>
            <wp:cNvGraphicFramePr/>
            <a:graphic xmlns:a="http://schemas.openxmlformats.org/drawingml/2006/main">
              <a:graphicData uri="http://schemas.openxmlformats.org/drawingml/2006/picture">
                <pic:pic xmlns:pic="http://schemas.openxmlformats.org/drawingml/2006/picture">
                  <pic:nvPicPr>
                    <pic:cNvPr id="2170" name="Picture 2170"/>
                    <pic:cNvPicPr/>
                  </pic:nvPicPr>
                  <pic:blipFill>
                    <a:blip r:embed="rId6"/>
                    <a:stretch>
                      <a:fillRect/>
                    </a:stretch>
                  </pic:blipFill>
                  <pic:spPr>
                    <a:xfrm>
                      <a:off x="0" y="0"/>
                      <a:ext cx="4121" cy="4121"/>
                    </a:xfrm>
                    <a:prstGeom prst="rect">
                      <a:avLst/>
                    </a:prstGeom>
                  </pic:spPr>
                </pic:pic>
              </a:graphicData>
            </a:graphic>
          </wp:inline>
        </w:drawing>
      </w:r>
    </w:p>
    <w:p w14:paraId="1524A1BD" w14:textId="77777777" w:rsidR="00E01D25" w:rsidRDefault="00000000">
      <w:pPr>
        <w:ind w:left="11" w:right="17"/>
      </w:pPr>
      <w:r>
        <w:t>WHEREAS, in the opinion of the Town Commission, it is in the best interest of the public health, safety, and welfare to adopt an ordinance authorizing the Town to charge fees for services provided by the Town in accordance with best practices followed by municipal governments throughout the State of Delaware.</w:t>
      </w:r>
    </w:p>
    <w:p w14:paraId="395D9E30" w14:textId="2E0FFD77" w:rsidR="00E01D25" w:rsidRDefault="00000000">
      <w:pPr>
        <w:ind w:left="11" w:right="17"/>
      </w:pPr>
      <w:r>
        <w:rPr>
          <w:noProof/>
        </w:rPr>
        <w:drawing>
          <wp:anchor distT="0" distB="0" distL="114300" distR="114300" simplePos="0" relativeHeight="251658240" behindDoc="0" locked="0" layoutInCell="1" allowOverlap="0" wp14:anchorId="4BC0706F" wp14:editId="30A632C2">
            <wp:simplePos x="0" y="0"/>
            <wp:positionH relativeFrom="page">
              <wp:posOffset>1092092</wp:posOffset>
            </wp:positionH>
            <wp:positionV relativeFrom="page">
              <wp:posOffset>5253773</wp:posOffset>
            </wp:positionV>
            <wp:extent cx="12363" cy="8241"/>
            <wp:effectExtent l="0" t="0" r="0" b="0"/>
            <wp:wrapSquare wrapText="bothSides"/>
            <wp:docPr id="2171" name="Picture 2171"/>
            <wp:cNvGraphicFramePr/>
            <a:graphic xmlns:a="http://schemas.openxmlformats.org/drawingml/2006/main">
              <a:graphicData uri="http://schemas.openxmlformats.org/drawingml/2006/picture">
                <pic:pic xmlns:pic="http://schemas.openxmlformats.org/drawingml/2006/picture">
                  <pic:nvPicPr>
                    <pic:cNvPr id="2171" name="Picture 2171"/>
                    <pic:cNvPicPr/>
                  </pic:nvPicPr>
                  <pic:blipFill>
                    <a:blip r:embed="rId7"/>
                    <a:stretch>
                      <a:fillRect/>
                    </a:stretch>
                  </pic:blipFill>
                  <pic:spPr>
                    <a:xfrm>
                      <a:off x="0" y="0"/>
                      <a:ext cx="12363" cy="8241"/>
                    </a:xfrm>
                    <a:prstGeom prst="rect">
                      <a:avLst/>
                    </a:prstGeom>
                  </pic:spPr>
                </pic:pic>
              </a:graphicData>
            </a:graphic>
          </wp:anchor>
        </w:drawing>
      </w:r>
      <w:r>
        <w:rPr>
          <w:noProof/>
        </w:rPr>
        <w:drawing>
          <wp:anchor distT="0" distB="0" distL="114300" distR="114300" simplePos="0" relativeHeight="251659264" behindDoc="0" locked="0" layoutInCell="1" allowOverlap="0" wp14:anchorId="72F60D8C" wp14:editId="6472A23A">
            <wp:simplePos x="0" y="0"/>
            <wp:positionH relativeFrom="page">
              <wp:posOffset>1125061</wp:posOffset>
            </wp:positionH>
            <wp:positionV relativeFrom="page">
              <wp:posOffset>5294979</wp:posOffset>
            </wp:positionV>
            <wp:extent cx="8242" cy="4121"/>
            <wp:effectExtent l="0" t="0" r="0" b="0"/>
            <wp:wrapSquare wrapText="bothSides"/>
            <wp:docPr id="2172" name="Picture 2172"/>
            <wp:cNvGraphicFramePr/>
            <a:graphic xmlns:a="http://schemas.openxmlformats.org/drawingml/2006/main">
              <a:graphicData uri="http://schemas.openxmlformats.org/drawingml/2006/picture">
                <pic:pic xmlns:pic="http://schemas.openxmlformats.org/drawingml/2006/picture">
                  <pic:nvPicPr>
                    <pic:cNvPr id="2172" name="Picture 2172"/>
                    <pic:cNvPicPr/>
                  </pic:nvPicPr>
                  <pic:blipFill>
                    <a:blip r:embed="rId8"/>
                    <a:stretch>
                      <a:fillRect/>
                    </a:stretch>
                  </pic:blipFill>
                  <pic:spPr>
                    <a:xfrm>
                      <a:off x="0" y="0"/>
                      <a:ext cx="8242" cy="4121"/>
                    </a:xfrm>
                    <a:prstGeom prst="rect">
                      <a:avLst/>
                    </a:prstGeom>
                  </pic:spPr>
                </pic:pic>
              </a:graphicData>
            </a:graphic>
          </wp:anchor>
        </w:drawing>
      </w:r>
      <w:r>
        <w:t>NOW THEREFORE, BE IT HEREBY ENACTED by the Town Commission of</w:t>
      </w:r>
      <w:r w:rsidR="00E12F37">
        <w:t xml:space="preserve"> </w:t>
      </w:r>
      <w:r>
        <w:t>the Town of Viola as follows:</w:t>
      </w:r>
    </w:p>
    <w:p w14:paraId="578A58B3" w14:textId="683D6864" w:rsidR="00E01D25" w:rsidRDefault="00000000">
      <w:pPr>
        <w:ind w:left="11" w:right="17"/>
      </w:pPr>
      <w:r w:rsidRPr="00E12F37">
        <w:rPr>
          <w:b/>
          <w:bCs/>
        </w:rPr>
        <w:t>Section 1</w:t>
      </w:r>
      <w:r>
        <w:t>. The Town of Viola Fee Schedule attached hereto as Exhibit A is hereby adopted as the Fee Schedule of the To</w:t>
      </w:r>
      <w:r w:rsidR="00E12F37">
        <w:t>w</w:t>
      </w:r>
      <w:r>
        <w:t>n of Viola. The intent of the fees established in the Fee Schedule is to cover the</w:t>
      </w:r>
      <w:r w:rsidR="00E12F37">
        <w:t xml:space="preserve"> </w:t>
      </w:r>
      <w:r>
        <w:t xml:space="preserve">costs incurred by the Town associated with the services provided by the Town. In the event that the actual costs incurred by the Town to provide a service exceeds the corresponding </w:t>
      </w:r>
      <w:r>
        <w:rPr>
          <w:noProof/>
        </w:rPr>
        <w:drawing>
          <wp:inline distT="0" distB="0" distL="0" distR="0" wp14:anchorId="1CC67A57" wp14:editId="05502B55">
            <wp:extent cx="4121" cy="4121"/>
            <wp:effectExtent l="0" t="0" r="0" b="0"/>
            <wp:docPr id="2173" name="Picture 2173"/>
            <wp:cNvGraphicFramePr/>
            <a:graphic xmlns:a="http://schemas.openxmlformats.org/drawingml/2006/main">
              <a:graphicData uri="http://schemas.openxmlformats.org/drawingml/2006/picture">
                <pic:pic xmlns:pic="http://schemas.openxmlformats.org/drawingml/2006/picture">
                  <pic:nvPicPr>
                    <pic:cNvPr id="2173" name="Picture 2173"/>
                    <pic:cNvPicPr/>
                  </pic:nvPicPr>
                  <pic:blipFill>
                    <a:blip r:embed="rId9"/>
                    <a:stretch>
                      <a:fillRect/>
                    </a:stretch>
                  </pic:blipFill>
                  <pic:spPr>
                    <a:xfrm>
                      <a:off x="0" y="0"/>
                      <a:ext cx="4121" cy="4121"/>
                    </a:xfrm>
                    <a:prstGeom prst="rect">
                      <a:avLst/>
                    </a:prstGeom>
                  </pic:spPr>
                </pic:pic>
              </a:graphicData>
            </a:graphic>
          </wp:inline>
        </w:drawing>
      </w:r>
      <w:r>
        <w:t>fee, the Town is authorized to impose an additional fee not to exceed those costs incurred. The Town may withhold any services until the corresponding fees are paid in full.</w:t>
      </w:r>
    </w:p>
    <w:p w14:paraId="7179ACE2" w14:textId="4717BE5E" w:rsidR="00E01D25" w:rsidRDefault="00000000">
      <w:pPr>
        <w:spacing w:after="217"/>
        <w:ind w:left="11" w:right="17"/>
      </w:pPr>
      <w:r w:rsidRPr="00E12F37">
        <w:rPr>
          <w:b/>
          <w:bCs/>
        </w:rPr>
        <w:t>Section 2</w:t>
      </w:r>
      <w:r>
        <w:t>. Severability. The provisions of this Ordinance shall be severable. If any provisions of this Ordinance are found by any court of competent jurisdiction to be unconstitutional or void, the remaining provisions of</w:t>
      </w:r>
      <w:r w:rsidR="00E12F37">
        <w:t xml:space="preserve"> t</w:t>
      </w:r>
      <w:r>
        <w:t>his Ordinance shall remain valid, unless the court finds that the valid provisions of</w:t>
      </w:r>
      <w:r w:rsidR="00E12F37">
        <w:t xml:space="preserve"> t</w:t>
      </w:r>
      <w:r>
        <w:t>his Ordinance are so essentially and inseparably connected with, and so dependent upon, the unconstitutional or void provision that it cannot be presumed that the Town Commission would have enacted the remaining valid provisions without the unconstitutional or void provision; or unless the court finds that the remaining valid provisions, standing alone, are incomplete and incapable of being executed in accordance with Town Commission' s intent.</w:t>
      </w:r>
    </w:p>
    <w:p w14:paraId="63EA3C7B" w14:textId="77777777" w:rsidR="00E01D25" w:rsidRDefault="00000000">
      <w:pPr>
        <w:spacing w:after="15"/>
        <w:ind w:left="11" w:right="17"/>
      </w:pPr>
      <w:r w:rsidRPr="00E12F37">
        <w:rPr>
          <w:b/>
          <w:bCs/>
        </w:rPr>
        <w:t>Section 3</w:t>
      </w:r>
      <w:r>
        <w:t>. Effective Date. This Ordinance shall become effective immediately upon its adoption.</w:t>
      </w:r>
    </w:p>
    <w:p w14:paraId="2C1F278E" w14:textId="77777777" w:rsidR="00E01D25" w:rsidRDefault="00000000">
      <w:pPr>
        <w:spacing w:after="263" w:line="259" w:lineRule="auto"/>
        <w:ind w:left="-19" w:right="-26" w:firstLine="0"/>
        <w:jc w:val="left"/>
      </w:pPr>
      <w:r>
        <w:rPr>
          <w:rFonts w:ascii="Calibri" w:eastAsia="Calibri" w:hAnsi="Calibri" w:cs="Calibri"/>
          <w:noProof/>
        </w:rPr>
        <mc:AlternateContent>
          <mc:Choice Requires="wpg">
            <w:drawing>
              <wp:inline distT="0" distB="0" distL="0" distR="0" wp14:anchorId="6F9B198B" wp14:editId="2C2FD625">
                <wp:extent cx="5575853" cy="20603"/>
                <wp:effectExtent l="0" t="0" r="0" b="0"/>
                <wp:docPr id="4540" name="Group 4540"/>
                <wp:cNvGraphicFramePr/>
                <a:graphic xmlns:a="http://schemas.openxmlformats.org/drawingml/2006/main">
                  <a:graphicData uri="http://schemas.microsoft.com/office/word/2010/wordprocessingGroup">
                    <wpg:wgp>
                      <wpg:cNvGrpSpPr/>
                      <wpg:grpSpPr>
                        <a:xfrm>
                          <a:off x="0" y="0"/>
                          <a:ext cx="5575853" cy="20603"/>
                          <a:chOff x="0" y="0"/>
                          <a:chExt cx="5575853" cy="20603"/>
                        </a:xfrm>
                      </wpg:grpSpPr>
                      <wps:wsp>
                        <wps:cNvPr id="4539" name="Shape 4539"/>
                        <wps:cNvSpPr/>
                        <wps:spPr>
                          <a:xfrm>
                            <a:off x="0" y="0"/>
                            <a:ext cx="5575853" cy="20603"/>
                          </a:xfrm>
                          <a:custGeom>
                            <a:avLst/>
                            <a:gdLst/>
                            <a:ahLst/>
                            <a:cxnLst/>
                            <a:rect l="0" t="0" r="0" b="0"/>
                            <a:pathLst>
                              <a:path w="5575853" h="20603">
                                <a:moveTo>
                                  <a:pt x="0" y="10302"/>
                                </a:moveTo>
                                <a:lnTo>
                                  <a:pt x="5575853" y="10302"/>
                                </a:lnTo>
                              </a:path>
                            </a:pathLst>
                          </a:custGeom>
                          <a:ln w="2060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540" style="width:439.043pt;height:1.62231pt;mso-position-horizontal-relative:char;mso-position-vertical-relative:line" coordsize="55758,206">
                <v:shape id="Shape 4539" style="position:absolute;width:55758;height:206;left:0;top:0;" coordsize="5575853,20603" path="m0,10302l5575853,10302">
                  <v:stroke weight="1.62231pt" endcap="flat" joinstyle="miter" miterlimit="1" on="true" color="#000000"/>
                  <v:fill on="false" color="#000000"/>
                </v:shape>
              </v:group>
            </w:pict>
          </mc:Fallback>
        </mc:AlternateContent>
      </w:r>
    </w:p>
    <w:p w14:paraId="423D4981" w14:textId="77777777" w:rsidR="00E01D25" w:rsidRPr="00E12F37" w:rsidRDefault="00000000">
      <w:pPr>
        <w:pStyle w:val="Heading2"/>
        <w:spacing w:after="0" w:line="259" w:lineRule="auto"/>
        <w:ind w:left="19" w:firstLine="0"/>
        <w:rPr>
          <w:b/>
          <w:bCs/>
        </w:rPr>
      </w:pPr>
      <w:r w:rsidRPr="00E12F37">
        <w:rPr>
          <w:b/>
          <w:bCs/>
        </w:rPr>
        <w:t>SYNOPSIS</w:t>
      </w:r>
    </w:p>
    <w:p w14:paraId="1B87515A" w14:textId="77777777" w:rsidR="00E12F37" w:rsidRDefault="00E12F37" w:rsidP="00E12F37"/>
    <w:p w14:paraId="4B188344" w14:textId="77777777" w:rsidR="00E12F37" w:rsidRDefault="00E12F37" w:rsidP="00E12F37"/>
    <w:p w14:paraId="2B1FF597" w14:textId="77777777" w:rsidR="00E12F37" w:rsidRDefault="00E12F37" w:rsidP="00E12F37"/>
    <w:p w14:paraId="7872E09A" w14:textId="77777777" w:rsidR="00E12F37" w:rsidRDefault="00E12F37" w:rsidP="00E12F37"/>
    <w:p w14:paraId="6DADC106" w14:textId="77777777" w:rsidR="00E12F37" w:rsidRPr="00E12F37" w:rsidRDefault="00E12F37" w:rsidP="00E12F37">
      <w:pPr>
        <w:ind w:left="19" w:firstLine="0"/>
      </w:pPr>
      <w:r w:rsidRPr="00E12F37">
        <w:lastRenderedPageBreak/>
        <w:t xml:space="preserve">This will certify that this is a true and correct copy of the Ordinance duly adopted by the Town Council of the Town of Viola at its regular meeting on </w:t>
      </w:r>
      <w:r w:rsidRPr="00E12F37">
        <w:rPr>
          <w:u w:val="single"/>
        </w:rPr>
        <w:t>February 7, 2023</w:t>
      </w:r>
      <w:r w:rsidRPr="00E12F37">
        <w:t>.</w:t>
      </w:r>
    </w:p>
    <w:p w14:paraId="3DD3052F" w14:textId="77777777" w:rsidR="00E12F37" w:rsidRPr="00E12F37" w:rsidRDefault="00E12F37" w:rsidP="00E12F37">
      <w:r w:rsidRPr="00E12F37">
        <w:t>ATTEST:</w:t>
      </w:r>
    </w:p>
    <w:p w14:paraId="53AF07DD" w14:textId="07578620" w:rsidR="00E12F37" w:rsidRPr="00E12F37" w:rsidRDefault="00E12F37" w:rsidP="00E12F37">
      <w:r>
        <w:rPr>
          <w:noProof/>
        </w:rPr>
        <w:drawing>
          <wp:inline distT="0" distB="0" distL="0" distR="0" wp14:anchorId="72ABDAD1" wp14:editId="38AE0736">
            <wp:extent cx="5638800" cy="806450"/>
            <wp:effectExtent l="0" t="0" r="0" b="0"/>
            <wp:docPr id="613441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806450"/>
                    </a:xfrm>
                    <a:prstGeom prst="rect">
                      <a:avLst/>
                    </a:prstGeom>
                    <a:noFill/>
                  </pic:spPr>
                </pic:pic>
              </a:graphicData>
            </a:graphic>
          </wp:inline>
        </w:drawing>
      </w:r>
    </w:p>
    <w:sectPr w:rsidR="00E12F37" w:rsidRPr="00E12F37">
      <w:footerReference w:type="default" r:id="rId11"/>
      <w:pgSz w:w="12240" w:h="15840"/>
      <w:pgMar w:top="1440" w:right="1713" w:bottom="1440" w:left="17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62B7" w14:textId="77777777" w:rsidR="000E660C" w:rsidRDefault="000E660C" w:rsidP="00E12F37">
      <w:pPr>
        <w:spacing w:after="0" w:line="240" w:lineRule="auto"/>
      </w:pPr>
      <w:r>
        <w:separator/>
      </w:r>
    </w:p>
  </w:endnote>
  <w:endnote w:type="continuationSeparator" w:id="0">
    <w:p w14:paraId="0557BBC8" w14:textId="77777777" w:rsidR="000E660C" w:rsidRDefault="000E660C" w:rsidP="00E1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597297223"/>
      <w:docPartObj>
        <w:docPartGallery w:val="Page Numbers (Bottom of Page)"/>
        <w:docPartUnique/>
      </w:docPartObj>
    </w:sdtPr>
    <w:sdtEndPr>
      <w:rPr>
        <w:color w:val="7F7F7F" w:themeColor="background1" w:themeShade="7F"/>
        <w:spacing w:val="60"/>
      </w:rPr>
    </w:sdtEndPr>
    <w:sdtContent>
      <w:p w14:paraId="75A34437" w14:textId="3997DB84" w:rsidR="00E12F37" w:rsidRPr="00E12F37" w:rsidRDefault="00E12F37">
        <w:pPr>
          <w:pStyle w:val="Footer"/>
          <w:pBdr>
            <w:top w:val="single" w:sz="4" w:space="1" w:color="D9D9D9" w:themeColor="background1" w:themeShade="D9"/>
          </w:pBdr>
          <w:jc w:val="right"/>
          <w:rPr>
            <w:b/>
            <w:bCs/>
          </w:rPr>
        </w:pPr>
        <w:r w:rsidRPr="00E12F37">
          <w:rPr>
            <w:b/>
            <w:bCs/>
          </w:rPr>
          <w:fldChar w:fldCharType="begin"/>
        </w:r>
        <w:r w:rsidRPr="00E12F37">
          <w:rPr>
            <w:b/>
            <w:bCs/>
          </w:rPr>
          <w:instrText xml:space="preserve"> PAGE   \* MERGEFORMAT </w:instrText>
        </w:r>
        <w:r w:rsidRPr="00E12F37">
          <w:rPr>
            <w:b/>
            <w:bCs/>
          </w:rPr>
          <w:fldChar w:fldCharType="separate"/>
        </w:r>
        <w:r w:rsidRPr="00E12F37">
          <w:rPr>
            <w:b/>
            <w:bCs/>
            <w:noProof/>
          </w:rPr>
          <w:t>2</w:t>
        </w:r>
        <w:r w:rsidRPr="00E12F37">
          <w:rPr>
            <w:b/>
            <w:bCs/>
            <w:noProof/>
          </w:rPr>
          <w:fldChar w:fldCharType="end"/>
        </w:r>
        <w:r w:rsidRPr="00E12F37">
          <w:rPr>
            <w:b/>
            <w:bCs/>
          </w:rPr>
          <w:t xml:space="preserve"> | </w:t>
        </w:r>
        <w:r w:rsidRPr="00E12F37">
          <w:rPr>
            <w:b/>
            <w:bCs/>
            <w:color w:val="7F7F7F" w:themeColor="background1" w:themeShade="7F"/>
            <w:spacing w:val="60"/>
          </w:rPr>
          <w:t>Page</w:t>
        </w:r>
      </w:p>
    </w:sdtContent>
  </w:sdt>
  <w:p w14:paraId="5BE8D28E" w14:textId="77777777" w:rsidR="00E12F37" w:rsidRPr="00E12F37" w:rsidRDefault="00E12F37">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E1F4" w14:textId="77777777" w:rsidR="000E660C" w:rsidRDefault="000E660C" w:rsidP="00E12F37">
      <w:pPr>
        <w:spacing w:after="0" w:line="240" w:lineRule="auto"/>
      </w:pPr>
      <w:r>
        <w:separator/>
      </w:r>
    </w:p>
  </w:footnote>
  <w:footnote w:type="continuationSeparator" w:id="0">
    <w:p w14:paraId="0E6F4F5E" w14:textId="77777777" w:rsidR="000E660C" w:rsidRDefault="000E660C" w:rsidP="00E12F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D25"/>
    <w:rsid w:val="000E660C"/>
    <w:rsid w:val="00E01D25"/>
    <w:rsid w:val="00E12F37"/>
    <w:rsid w:val="00F7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2BEF"/>
  <w15:docId w15:val="{46405AD9-D151-437A-8306-717F5E0A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5" w:line="223" w:lineRule="auto"/>
      <w:ind w:firstLine="678"/>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right="65"/>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258" w:line="220" w:lineRule="auto"/>
      <w:ind w:firstLine="668"/>
      <w:jc w:val="center"/>
      <w:outlineLvl w:val="1"/>
    </w:pPr>
    <w:rPr>
      <w:rFonts w:ascii="Times New Roman" w:eastAsia="Times New Roman" w:hAnsi="Times New Roman" w:cs="Times New Roman"/>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E12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F37"/>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E12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F37"/>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2023-02-12_001303-1.jpg</dc:title>
  <dc:subject/>
  <dc:creator>Heather Weeks</dc:creator>
  <cp:keywords/>
  <cp:lastModifiedBy>Heather Weeks</cp:lastModifiedBy>
  <cp:revision>2</cp:revision>
  <dcterms:created xsi:type="dcterms:W3CDTF">2026-04-26T18:15:00Z</dcterms:created>
  <dcterms:modified xsi:type="dcterms:W3CDTF">2026-04-26T18:15:00Z</dcterms:modified>
</cp:coreProperties>
</file>